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MeAnlG — Ansprüche der Beteiligten</w:t>
      </w:r>
    </w:p>
    <w:p>
      <w:r>
        <w:rPr>
          <w:color w:val="555555"/>
          <w:sz w:val="18"/>
        </w:rPr>
        <w:t xml:space="preserve">Meliorationsanlagengesetz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die Meliorationsanlagen nach Art oder Größe so beschaffen, daß</w:t>
      </w:r>
    </w:p>
    <w:p>
      <w:pPr>
        <w:ind w:left="420"/>
      </w:pPr>
      <w:r>
        <w:t xml:space="preserve">1. sie den Grundstückseigentümer von Besitz und Nutzung seines Grundstücks ausschließen oder</w:t>
      </w:r>
    </w:p>
    <w:p>
      <w:pPr>
        <w:ind w:left="420"/>
      </w:pPr>
      <w:r>
        <w:t xml:space="preserve">2. die Fläche, die für die Nutzung der Anlage nicht erforderlich ist, für den Grundstückseigentümer baulich oder wirtschaftlich nicht nutzbar ist,</w:t>
      </w:r>
    </w:p>
    <w:p>
      <w:r>
        <w:t xml:space="preserve">kann der Ankauf des Grundstücks durch den Eigentümer der Anlage nach Maßgabe des Sachenrechtsbereinigungsgesetzes verlangt werden. Jeder der Beteiligten (Grundstückseigentümer und Anlageneigentümer) ist zur Ausübung des Anspruchs berechtigt.</w:t>
      </w:r>
    </w:p>
    <w:p>
      <w:r>
        <w:t xml:space="preserve">(2) Der Kaufpreis ist nach dem ungeteilten Bodenwert des Grundstücks zu bestimmen.</w:t>
      </w:r>
    </w:p>
    <w:p>
      <w:r>
        <w:t xml:space="preserve">(3) Der Eigentümer der Anlage kann vom Grundstückseigentümer im Falle des Ankaufs des Grundstücks eine zinslose Stundung der Hälfte des Kaufpreises für fünf Jahre verlangen.</w:t>
      </w:r>
    </w:p>
    <w:p>
      <w:r>
        <w:t xml:space="preserve">(4) Ist ein alsbaldiger Abbruch der Anlage zur ordnungsgemäßen Bewirtschaftung des Grundstücks erforderlich und zu erwarten, so kann der Eigentümer der Anlage, wenn er das Grundstück nach Absatz 1 ankauft, vom Kaufpreis die Hälfte der Abbruchkosten abziehen. Der Kaufpreis ist jedoch mindestens nach dem in § 82 Abs. 5 des Sachenrechtsbereinigungsgesetzes genannten Entschädigungswert zu bemessen. Verweigert der Grundstückseigentümer den Verkauf des Grundstücks an den Anlagenbesitzer aus den in § 29 Abs. 1 des Sachenrechtsbereinigungsgesetzes genannten Gründen, so stehen ihm die in § 11 bestimmten Ansprüche zu. Rechte aus dem Anlageneigentum können nicht mehr geltend gemacht werden. Mit dem Abbruch erlischt das selbständige Eigentum an der Anlage.</w:t>
      </w:r>
    </w:p>
    <w:p>
      <w:r>
        <w:t xml:space="preserve">(5) Die Absätze 1 bis 3 und 4 Satz 1 und 2 finden entsprechend Anwendung, wenn Anlagen bis zum 8. August 1990 von volkseigenen Betrieben, staatlichen Organen oder Einrichtungen im Sinne des § 459 Abs. 1 Satz 1 des Zivilgesetzbuches der Deutschen Demokratischen Republik auf ehemals nicht volkseigenen Grundstücken errichtet worden sind und ein Nutzungsvertrag nicht abgeschlossen worden ist. In diesen Fällen gilt selbständiges Anlageneigentum als entstanden.</w:t>
      </w:r>
    </w:p>
    <w:p>
      <w:r>
        <w:rPr>
          <w:color w:val="555555"/>
          <w:sz w:val="17"/>
        </w:rPr>
        <w:t xml:space="preserve">Zitiervorschlag: § 15 MeAnlG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https://recht.nulegal.eu/gesetze/MeAnlG/15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