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MeAnlG — Eigentumsübergang</w:t>
      </w:r>
    </w:p>
    <w:p>
      <w:r>
        <w:rPr>
          <w:color w:val="555555"/>
          <w:sz w:val="18"/>
        </w:rPr>
        <w:t xml:space="preserve">Meliorationsanlagengesetz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Eigentum an den sich auf dem Grundstück befindenden Entwässerungsanlagen geht mit dem 1. Januar 1995 auf den Grundstückseigentümer über. Die Anlage wird wesentlicher Bestandteil des Grundstücks.</w:t>
      </w:r>
    </w:p>
    <w:p>
      <w:r>
        <w:rPr>
          <w:color w:val="555555"/>
          <w:sz w:val="17"/>
        </w:rPr>
        <w:t xml:space="preserve">Zitiervorschlag: § 12 MeAnlG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https://recht.nulegal.eu/gesetze/MeAnlG/12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