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MeAnlG — Anwendungsbereich</w:t>
      </w:r>
    </w:p>
    <w:p>
      <w:r>
        <w:rPr>
          <w:color w:val="555555"/>
          <w:sz w:val="18"/>
        </w:rPr>
        <w:t xml:space="preserve">Meliorationsanlagengesetz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regelt die Rechtsverhältnisse an Grundstücken und an Meliorationsanlagen in dem in Artikel 3 des Einigungsvertrages genannten Gebiet, wenn an den Meliorationsanlagen nach § 27 des Gesetzes über die landwirtschaftlichen Produktionsgenossenschaften vom 2. Juli 1982 (GBl. I Nr. 25 S. 443), nach § 459 Abs. 1 Satz 1 des Zivilgesetzbuchs der Deutschen Demokratischen Republik oder nach Artikel 233 § 2b Abs. 1 des Einführungsgesetzes zum Bürgerlichen Gesetzbuche selbständiges, vom Eigentum am Grundstück getrenntes Eigentum besteht.</w:t>
      </w:r>
    </w:p>
    <w:p>
      <w:r>
        <w:t xml:space="preserve">(2) Dieses Gesetz ist nicht anzuwenden, soweit Anlagen oder Anlagenteile über oder in öffentlichen Verkehrswegen und Verkehrsflächen, einschließlich der zu den Wasserstraßen gehörenden Ufergrundstücke, verlegt sind.</w:t>
      </w:r>
    </w:p>
    <w:p>
      <w:r>
        <w:rPr>
          <w:color w:val="555555"/>
          <w:sz w:val="17"/>
        </w:rPr>
        <w:t xml:space="preserve">Zitiervorschlag: § 1 MeAnlG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https://recht.nulegal.eu/gesetze/MeAnlG/1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