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MeßEinhG — Auskünfte</w:t>
      </w:r>
    </w:p>
    <w:p>
      <w:r>
        <w:rPr>
          <w:color w:val="555555"/>
          <w:sz w:val="18"/>
        </w:rPr>
        <w:t xml:space="preserve">Einheiten- und 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Einhaltung der Vorschriften dieses Gesetzes verantwortlichen Personen haben der zuständigen Behörde die für die Durchführung dieses Gesetzes und der auf Grund des § 3 erlassenen Vorschriften erforderlichen Auskünfte zu erteilen. Der zur Auskunft Verpflichtete kann die Auskunft über solche Fragen verweigern, deren Beantwortung ihn selbst oder einen der in § 383 Abs. 1 Nr. 1 bis 3 der Zivilprozeßordnung bezeichneten Angehörigen der Gefahr strafgerichtlicher Verfolgung oder eines Verfahrens nach dem Gesetz über die Ordnungswidrigkeiten aussetzen würde.</w:t>
      </w:r>
    </w:p>
    <w:p>
      <w:r>
        <w:rPr>
          <w:color w:val="555555"/>
          <w:sz w:val="17"/>
        </w:rPr>
        <w:t xml:space="preserve">Zitiervorschlag: § 9 MeßEinhG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https://recht.nulegal.eu/gesetze/Me%C3%9FEinhG/9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MeßEinhG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