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MeßEinhG — Gesetzliche Zeit</w:t>
      </w:r>
    </w:p>
    <w:p>
      <w:r>
        <w:rPr>
          <w:color w:val="555555"/>
          <w:sz w:val="18"/>
        </w:rPr>
        <w:t xml:space="preserve">Einheiten- und Zeitgesetz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gesetzliche Zeit ist die mitteleuropäische Zeit. Diese ist bestimmt durch die koordinierte Weltzeit unter Hinzufügung einer Stunde.</w:t>
      </w:r>
    </w:p>
    <w:p>
      <w:r>
        <w:t xml:space="preserve">(2) Für den Zeitraum ihrer Einführung ist die mitteleuropäische Sommerzeit die gesetzliche Zeit. Die mitteleuropäische Sommerzeit ist bestimmt durch die koordinierte Weltzeit unter Hinzufügung zweier Stunden.</w:t>
      </w:r>
    </w:p>
    <w:p>
      <w:r>
        <w:rPr>
          <w:color w:val="555555"/>
          <w:sz w:val="17"/>
        </w:rPr>
        <w:t xml:space="preserve">Zitiervorschlag: § 4 MeßEinhG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https://recht.nulegal.eu/gesetze/Me%C3%9FEinhG/4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MeßEinhG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