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MeßEinhG — Gesetzliche Einheiten im Meßwesen</w:t>
      </w:r>
    </w:p>
    <w:p>
      <w:r>
        <w:rPr>
          <w:color w:val="555555"/>
          <w:sz w:val="18"/>
        </w:rPr>
        <w:t xml:space="preserve">Einheiten- und Zeitgesetz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Gesetzliche Einheiten im Meßwesen sind</w:t>
      </w:r>
    </w:p>
    <w:p>
      <w:pPr>
        <w:ind w:left="420"/>
      </w:pPr>
      <w:r>
        <w:t xml:space="preserve">1. die nach § 3 Abs. 1 Nr. 1 festgesetzten Einheiten,</w:t>
      </w:r>
    </w:p>
    <w:p>
      <w:pPr>
        <w:ind w:left="420"/>
      </w:pPr>
      <w:r>
        <w:t xml:space="preserve">2. dezimale Teile und Vielfache dieser Einheiten, die mit den nach § 3 Abs. 1 Nr. 3 festgesetzten Vorsätzen bezeichnet sind.</w:t>
      </w:r>
    </w:p>
    <w:p>
      <w:r>
        <w:rPr>
          <w:color w:val="555555"/>
          <w:sz w:val="17"/>
        </w:rPr>
        <w:t xml:space="preserve">Zitiervorschlag: § 2 MeßEinhG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https://recht.nulegal.eu/gesetze/Me%C3%9FEinhG/2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