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MbauMstrV 2013 — Meisterprüfungsprojekt</w:t>
      </w:r>
    </w:p>
    <w:p>
      <w:r>
        <w:rPr>
          <w:color w:val="555555"/>
          <w:sz w:val="18"/>
        </w:rPr>
        <w:t xml:space="preserve">Modellbauermeisterverordnung</w:t>
      </w:r>
    </w:p>
    <w:p>
      <w:r>
        <w:rPr>
          <w:color w:val="555555"/>
          <w:sz w:val="18"/>
        </w:rPr>
        <w:t xml:space="preserve">Stand: 10.06.2019 (konsolidierte Textfassung, kein amtliches Inkrafttretensdatum)</w:t>
      </w:r>
    </w:p>
    <w:p>
      <w:r>
        <w:t xml:space="preserve">(1) Der Prüfling hat ein Meisterprüfungsprojekt durchzuführen, das einem Kundenauftrag entspricht. Die auftragsbezogenen Anforderungen werden vom Meisterprüfungsausschuss durch Produktunterlagen für den Gießerei-, Karosserie- und Produktions- sowie Anschauungsmodellbau festgelegt. Vorschläge des Prüflings sollen berücksichtigt werden, wenn sie den auftragsbezogenen Anforderungen entsprechen.</w:t>
      </w:r>
    </w:p>
    <w:p>
      <w:r>
        <w:t xml:space="preserve">(2) Das Meisterprüfungsprojekt besteht aus Planungs-, Durchführungs-, Kontroll- und Dokumentationsarbeiten.</w:t>
      </w:r>
    </w:p>
    <w:p>
      <w:r>
        <w:t xml:space="preserve">(3) Als Meisterprüfungsprojekt ist ein Modell, eine Form oder eine Modelleinrichtung zu planen. Die Planungsunterlagen bestehen aus Konstruktionen und Kalkulationen. Auf dieser Grundlage ist die Herstellung und Prüfung des Modells, der Form oder der Modelleinrichtung durchzuführen. Dabei sind Fertigungsdaten zu erzeugen und anzuwenden sowie Messprotokolle und Prüfberichte zu erstellen.</w:t>
      </w:r>
    </w:p>
    <w:p>
      <w:r>
        <w:t xml:space="preserve">(4) Die Planungsunterlagen werden mit 40 Prozent, die durchgeführten Arbeiten mit 50 Prozent und die Kontroll- und Dokumentationsunterlagen, bestehend aus Messprotokollen und Prüfberichten, mit 10 Prozent gewichtet.</w:t>
      </w:r>
    </w:p>
    <w:p>
      <w:r>
        <w:rPr>
          <w:color w:val="555555"/>
          <w:sz w:val="17"/>
        </w:rPr>
        <w:t xml:space="preserve">Zitiervorschlag: § 4 MbauMstrV 2013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https://recht.nulegal.eu/gesetze/MbauMstrV%202013/4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