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MbauMstrV 2013 — Gegenstand</w:t>
      </w:r>
    </w:p>
    <w:p>
      <w:r>
        <w:rPr>
          <w:color w:val="555555"/>
          <w:sz w:val="18"/>
        </w:rPr>
        <w:t xml:space="preserve">Modellbauermeisterverordnung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besteht aus vier selbständigen Prüfungsteilen. Diese Verordnung regelt das Meisterprüfungsberufsbild sowie die Prüfung in den Teilen I und II der Meisterprüfung im Modellbauer-Handwerk.</w:t>
      </w:r>
    </w:p>
    <w:p>
      <w:r>
        <w:rPr>
          <w:color w:val="555555"/>
          <w:sz w:val="17"/>
        </w:rPr>
        <w:t xml:space="preserve">Zitiervorschlag: § 1 MbauMstrV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https://recht.nulegal.eu/gesetze/MbauMstrV%202013/1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