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MbBO — Bauaufsichtliche Genehmigung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Errichtung, die Änderung, der Abbruch oder die Veränderung der Nutzung baulicher Anlagen bedürfen einer bauaufsichtlichen Genehmigung durch das Eisenbahn-Bundesamt, soweit in Absatz 2 nichts anderes bestimmt ist.</w:t>
      </w:r>
    </w:p>
    <w:p>
      <w:r>
        <w:t xml:space="preserve">(2) Von der Genehmigungspflicht ausgenommen sind Vorhaben von untergeordneter Bedeutung. Darunter fallen insbesondere bauliche Anlagen, für die Festigkeitsberechnungen oder andere Sicherheitsnachweise nicht erforderlich sind. Im Zweifelsfall entscheidet das Eisenbahn-Bundesamt.</w:t>
      </w:r>
    </w:p>
    <w:p>
      <w:r>
        <w:t xml:space="preserve">(3) Der Unternehmer hat dem Eisenbahn-Bundesamt alle für die Prüfung der Baumaßnahme erforderlichen Unterlagen vorzulegen. Hierzu gehören insbesondere Ausführungszeichnungen, Baustoffangaben, Lastannahmen sowie sonstige, für die Beurteilung der Sicherheit wesentliche Beschreibungen und Berechnungen.</w:t>
      </w:r>
    </w:p>
    <w:p>
      <w:r>
        <w:t xml:space="preserve">(4) Die bauaufsichtliche Genehmigung ist zu erteilen, wenn der Baumaßnahme keine bauordnungsrechtlichen Vorschriften dieses Abschnitts entgegenstehen.</w:t>
      </w:r>
    </w:p>
    <w:p>
      <w:r>
        <w:t xml:space="preserve">(5) Eine bauaufsichtliche Genehmigung erlischt, wenn innerhalb von fünf Jahren nach Erteilung mit der Ausführung der Baumaßnahme nicht begonnen oder wenn die Bauausführung ein Jahr unterbrochen worden ist.</w:t>
      </w:r>
    </w:p>
    <w:p>
      <w:r>
        <w:rPr>
          <w:color w:val="555555"/>
          <w:sz w:val="17"/>
        </w:rPr>
        <w:t xml:space="preserve">Zitiervorschlag: § 9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