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MbBO — Aufsicht</w:t>
      </w:r>
    </w:p>
    <w:p>
      <w:r>
        <w:rPr>
          <w:color w:val="555555"/>
          <w:sz w:val="18"/>
        </w:rPr>
        <w:t xml:space="preserve">Magnetschwebebahn-Bau- und Betriebsordnung</w:t>
      </w:r>
    </w:p>
    <w:p>
      <w:r>
        <w:rPr>
          <w:color w:val="555555"/>
          <w:sz w:val="18"/>
        </w:rPr>
        <w:t xml:space="preserve">Stand: 10.06.2019 (konsolidierte Textfassung, kein amtliches Inkrafttretensdatum)</w:t>
      </w:r>
    </w:p>
    <w:p>
      <w:r>
        <w:t xml:space="preserve">(1) Das Eisenbahn-Bundesamt kann zur Abwehr von Gefahren für die Sicherheit des Magnetschwebebahnbetriebs sowie zur Abwehr von der Magnetschwebebahn ausgehender Gefahren für die öffentliche Sicherheit und zum Schutz vor schädlichen Umwelteinwirkungen im Sinne des Bundes-Immissionsschutzgesetzes Verfügungen erlassen.</w:t>
      </w:r>
    </w:p>
    <w:p>
      <w:r>
        <w:t xml:space="preserve">(2) Für die Überwachung der Einhaltung von Vorschriften des technischen Arbeitsschutzes bei Magnetschwebebahnen ist das Eisenbahn-Bundesamt zuständig, soweit diese Vorschriften den Betrieb von Fahrzeugen und Anlage, die unmittelbar der Sicherstellung des Betriebsablaufs dienen, betreffen. Zu diesen Anlagen gehören der Fahrweg, die Sicherungs-, Schalt- und Steuerungsanlagen sowie die Anlagen zur Energiezuführung. Die Aufgaben, Zuständigkeiten und Befugnisse der Träger der gesetzlichen Unfallversicherung bleiben unberührt.</w:t>
      </w:r>
    </w:p>
    <w:p>
      <w:r>
        <w:t xml:space="preserve">(3) Das Eisenbahn-Bundesamt kann sich zur Vorbereitung seiner Entscheidungen Sachverständiger und sachverständiger Stellen bedienen.</w:t>
      </w:r>
    </w:p>
    <w:p>
      <w:r>
        <w:rPr>
          <w:color w:val="555555"/>
          <w:sz w:val="17"/>
        </w:rPr>
        <w:t xml:space="preserve">Zitiervorschlag: § 7 MbBO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https://recht.nulegal.eu/gesetze/MbBO/7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