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MbBO — Ausnahmen</w:t>
      </w:r>
    </w:p>
    <w:p>
      <w:r>
        <w:rPr>
          <w:color w:val="555555"/>
          <w:sz w:val="18"/>
        </w:rPr>
        <w:t xml:space="preserve">Magnetschwebebahn-Bau-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Eisenbahn-Bundesamt darf</w:t>
      </w:r>
    </w:p>
    <w:p>
      <w:pPr>
        <w:ind w:left="420"/>
      </w:pPr>
      <w:r>
        <w:t xml:space="preserve">1. zu Versuchs- und Probezwecken von den Vorschriften dieser Verordnung,</w:t>
      </w:r>
    </w:p>
    <w:p>
      <w:pPr>
        <w:ind w:left="420"/>
      </w:pPr>
      <w:r>
        <w:t xml:space="preserve">2. im Einzelfall aus besonderen Gründen von den Vorschriften des § 13 Abs. 2 Satz 2, des § 15 Abs. 1 Satz 3 und des § 22 Abs. 3</w:t>
      </w:r>
    </w:p>
    <w:p>
      <w:r>
        <w:t xml:space="preserve">Ausnahmen zulassen, wenn die Sicherheit auf andere Weise nachgewiesen ist.</w:t>
      </w:r>
    </w:p>
    <w:p>
      <w:r>
        <w:t xml:space="preserve">(2) Bei Fahrzeugen für Instandhaltungs- und Rettungszwecke auf dem Fahrweg kann von Vorschriften dieser Verordnung abgewichen werden, soweit diese Abweichungen für die Zweckbestimmung der Fahrzeuge erforderlich sind.</w:t>
      </w:r>
    </w:p>
    <w:p>
      <w:r>
        <w:rPr>
          <w:color w:val="555555"/>
          <w:sz w:val="17"/>
        </w:rPr>
        <w:t xml:space="preserve">Zitiervorschlag: § 5 MbBO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https://recht.nulegal.eu/gesetze/MbBO/5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