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MbBO — Ordnungswidrigkeiten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12 Abs. 1 Nr. 4 des Allgemeinen Magnetschwebebahngesetzes handelt, wer vorsätzlich oder fahrlässig</w:t>
      </w:r>
    </w:p>
    <w:p>
      <w:pPr>
        <w:ind w:left="420"/>
      </w:pPr>
      <w:r>
        <w:t xml:space="preserve">1. entgegen § 4 Abs. 1 den Fahrbetrieb aufnimmt,</w:t>
      </w:r>
    </w:p>
    <w:p>
      <w:pPr>
        <w:ind w:left="420"/>
      </w:pPr>
      <w:r>
        <w:t xml:space="preserve">2. entgegen § 6 Abs. 1 Satz 1 eine Betriebsanlage oder ein Fahrzeug in Betrieb nimmt,</w:t>
      </w:r>
    </w:p>
    <w:p>
      <w:pPr>
        <w:ind w:left="420"/>
      </w:pPr>
      <w:r>
        <w:t xml:space="preserve">3. ohne Genehmigung nach § 9 Abs. 1 eine bauliche Anlage errichtet, ändert, abbricht oder die Nutzung verändert,</w:t>
      </w:r>
    </w:p>
    <w:p>
      <w:pPr>
        <w:ind w:left="420"/>
      </w:pPr>
      <w:r>
        <w:t xml:space="preserve">4. entgegen § 16 eine Betriebsanlage oder deren Umfeld nicht oder nicht in der vorgeschriebenen Weise überwacht,</w:t>
      </w:r>
    </w:p>
    <w:p>
      <w:pPr>
        <w:ind w:left="420"/>
      </w:pPr>
      <w:r>
        <w:t xml:space="preserve">5. entgegen § 21 Abs. 2 eine überwachungsbedürftige Anlage nicht oder nicht rechtzeitig prüfen läßt,</w:t>
      </w:r>
    </w:p>
    <w:p>
      <w:pPr>
        <w:ind w:left="420"/>
      </w:pPr>
      <w:r>
        <w:t xml:space="preserve">6. entgegen § 25 Abs. 1 Satz 1 eine Meldung nicht, nicht richtig, nicht vollständig oder nicht rechtzeitig macht,</w:t>
      </w:r>
    </w:p>
    <w:p>
      <w:pPr>
        <w:ind w:left="420"/>
      </w:pPr>
      <w:r>
        <w:t xml:space="preserve">7. entgegen § 25 Abs. 2 Satz 1 Daten nicht aufzeichnet,</w:t>
      </w:r>
    </w:p>
    <w:p>
      <w:pPr>
        <w:ind w:left="420"/>
      </w:pPr>
      <w:r>
        <w:t xml:space="preserve">8. entgegen § 25 Abs. 3 eine Aufzeichnung nicht oder nicht mindestens 5 Arbeitstage aufbewahrt oder nicht oder nicht rechtzeitig vorlegt,</w:t>
      </w:r>
    </w:p>
    <w:p>
      <w:pPr>
        <w:ind w:left="420"/>
      </w:pPr>
      <w:r>
        <w:t xml:space="preserve">9. entgegen § 29 Satz 1 eine Betriebsanlage oder ein Fahrzeug betritt oder benutzt,</w:t>
      </w:r>
    </w:p>
    <w:p>
      <w:pPr>
        <w:ind w:left="420"/>
      </w:pPr>
      <w:r>
        <w:t xml:space="preserve">10. entgegen § 30 eine Einrichtung betätigt, ein Fahrthindernis bereitet oder eine andere betriebsstörende oder betriebsgefährdende Handlung vornimmt oder</w:t>
      </w:r>
    </w:p>
    <w:p>
      <w:pPr>
        <w:ind w:left="420"/>
      </w:pPr>
      <w:r>
        <w:t xml:space="preserve">11. entgegen § 31 im sicherheitsrelevanten Betriebsbereich tätig wird.</w:t>
      </w:r>
    </w:p>
    <w:p>
      <w:r>
        <w:rPr>
          <w:color w:val="555555"/>
          <w:sz w:val="17"/>
        </w:rPr>
        <w:t xml:space="preserve">Zitiervorschlag: § 32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