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MbBO — Störungen im Magnetschwebebahnbetrieb</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Der Unternehmer hat Unfälle und sonstige gefährliche Ereignisse unverzüglich dem Eisenbahn-Bundesamt gemäß Satz 2 zu melden. Dabei hat er Zeit, Ort, Art und Umfang des Ereignisses mitzuteilen.</w:t>
      </w:r>
    </w:p>
    <w:p>
      <w:r>
        <w:t xml:space="preserve">(2) Der Unternehmer hat Daten, die zur Aufklärung von Unfällen und sonstigen gefährlichen Ereignissen erforderlich sind, aufzuzeichnen. Dazu gehören Angaben über Ort, Zeit, Geschwindigkeit, sicherheitsrelevante Bedienhandlungen und Systemzustände sowie Meldungen zur Fahrtsicherung.</w:t>
      </w:r>
    </w:p>
    <w:p>
      <w:r>
        <w:t xml:space="preserve">(3) Der Unternehmer hat die Aufzeichnungen nach Absatz 2 mindestens 5 Arbeitstage nach Meldung an das Eisenbahn-Bundesamt aufzubewahren und diesem auf Verlangen vorzulegen.</w:t>
      </w:r>
    </w:p>
    <w:p>
      <w:r>
        <w:rPr>
          <w:color w:val="555555"/>
          <w:sz w:val="17"/>
        </w:rPr>
        <w:t xml:space="preserve">Zitiervorschlag: § 25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