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MbBO — Betriebshandbuch</w:t>
      </w:r>
    </w:p>
    <w:p>
      <w:r>
        <w:rPr>
          <w:color w:val="555555"/>
          <w:sz w:val="18"/>
        </w:rPr>
        <w:t xml:space="preserve">Magnetschwebebahn-Bau- und Betriebsordnung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Unternehmer hat für die sichere Durchführung und Überwachung des Fahrbetriebs ein Betriebshandbuch zu führen, das sowohl den Normalbetrieb als auch davon abweichende Betriebszustände berücksichtigt.</w:t>
      </w:r>
    </w:p>
    <w:p>
      <w:r>
        <w:t xml:space="preserve">(2) Das Betriebshandbuch ist vor Betriebsaufnahme zu erstellen. Es ist dem Eisenbahn-Bundesamt auf Verlangen vorzulegen. Das Eisenbahn-Bundesamt kann Änderungen und Ergänzungen verlangen.</w:t>
      </w:r>
    </w:p>
    <w:p>
      <w:r>
        <w:rPr>
          <w:color w:val="555555"/>
          <w:sz w:val="17"/>
        </w:rPr>
        <w:t xml:space="preserve">Zitiervorschlag: § 24 MbBO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https://recht.nulegal.eu/gesetze/MbBO/24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