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MbBO — Überwachungsbedürftige Anlagen der Fahrzeuge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Druckbehälter und sonstige überwachungsbedürftige Anlagen im Sinne des Gerätesicherheitsgesetzes, die mit dem Fahrzeug fest verbunden sind, müssen nach einer zugelassenen Bauart ausgeführt sein.</w:t>
      </w:r>
    </w:p>
    <w:p>
      <w:r>
        <w:t xml:space="preserve">(2) Die überwachungsbedürftigen Anlagen hat der Unternehmer vor Inbetriebnahme sowie planmäßig wiederkehrend durch vom Eisenbahn-Bundesamt anerkannte Sachverständige prüfen zu lassen. Es gelten die gleichen Fristen, wie sie in den nach § 11 Abs. 1 des Gerätesicherheitsgesetzes für überwachungsbedürftige Anlagen aufgestellten Verordnungen festgelegt sind.</w:t>
      </w:r>
    </w:p>
    <w:p>
      <w:r>
        <w:t xml:space="preserve">(3) Über die Prüfungen hat der Unternehmer Nachweise zu führen. Die Nachweise sind mindestens für die Dauer der Nutzung aufzubewahren und dem Eisenbahn-Bundesamt auf Verlangen vorzulegen.</w:t>
      </w:r>
    </w:p>
    <w:p>
      <w:r>
        <w:rPr>
          <w:color w:val="555555"/>
          <w:sz w:val="17"/>
        </w:rPr>
        <w:t xml:space="preserve">Zitiervorschlag: § 21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