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MbBO — Fahrweg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Fahrweg muß so beschaffen sein, daß er den von außerhalb anzunehmenden und den aus dem System auftretenden Einwirkungen standhält.</w:t>
      </w:r>
    </w:p>
    <w:p>
      <w:r>
        <w:t xml:space="preserve">(2) Bewegliche Fahrwegelemente, wie Weichen und Schiebebühnen, müssen mit Einrichtungen versehen sein, die sicher melden,</w:t>
      </w:r>
    </w:p>
    <w:p>
      <w:pPr>
        <w:ind w:left="420"/>
      </w:pPr>
      <w:r>
        <w:t xml:space="preserve">1. in welcher Lage sich die beweglichen Fahrwegelemente befinden und</w:t>
      </w:r>
    </w:p>
    <w:p>
      <w:pPr>
        <w:ind w:left="420"/>
      </w:pPr>
      <w:r>
        <w:t xml:space="preserve">2. daß diese gegen Veränderung ihrer Lage gesichert sind.</w:t>
      </w:r>
    </w:p>
    <w:p>
      <w:r>
        <w:t xml:space="preserve">(3) Der Fahrweg kann ein-, doppel- oder mehrspurig sein.</w:t>
      </w:r>
    </w:p>
    <w:p>
      <w:r>
        <w:rPr>
          <w:color w:val="555555"/>
          <w:sz w:val="17"/>
        </w:rPr>
        <w:t xml:space="preserve">Zitiervorschlag: § 12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