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MbBO — Bauaufsicht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Eisenbahn-Bundesamt hat bei der Errichtung, der Änderung, dem Abbruch, der Nutzung, der Nutzungsänderung sowie der Instandhaltung von baulichen Anlagen darüber zu wachen, daß die öffentlich-rechtlichen Vorschriften und die auf Grund dieser Vorschriften erlassenen Anordnungen eingehalten werden.</w:t>
      </w:r>
    </w:p>
    <w:p>
      <w:r>
        <w:t xml:space="preserve">(2) Ist eine bauliche Anlage ohne die erforderliche bauaufsichtliche Genehmigung errichtet worden, kann das Eisenbahn-Bundesamt</w:t>
      </w:r>
    </w:p>
    <w:p>
      <w:pPr>
        <w:ind w:left="420"/>
      </w:pPr>
      <w:r>
        <w:t xml:space="preserve">1. die Beseitigung anordnen,</w:t>
      </w:r>
    </w:p>
    <w:p>
      <w:pPr>
        <w:ind w:left="420"/>
      </w:pPr>
      <w:r>
        <w:t xml:space="preserve">2. die Nutzung untersagen oder</w:t>
      </w:r>
    </w:p>
    <w:p>
      <w:pPr>
        <w:ind w:left="420"/>
      </w:pPr>
      <w:r>
        <w:t xml:space="preserve">3. die Räumung anordnen,</w:t>
      </w:r>
    </w:p>
    <w:p>
      <w:r>
        <w:t xml:space="preserve">wenn ein rechtmäßiger Zustand nicht durch nachträgliche Genehmigung hergestellt werden kann.</w:t>
      </w:r>
    </w:p>
    <w:p>
      <w:r>
        <w:t xml:space="preserve">(3) Wird eine bauliche Anlage ohne die erforderliche bauaufsichtliche Genehmigung errichtet, kann das Eisenbahn-Bundesamt die Stillegung der Baustelle anordnen.</w:t>
      </w:r>
    </w:p>
    <w:p>
      <w:r>
        <w:rPr>
          <w:color w:val="555555"/>
          <w:sz w:val="17"/>
        </w:rPr>
        <w:t xml:space="preserve">Zitiervorschlag: § 11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