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MbBO — Baubeginn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Ausführung genehmigter Baumaßnahmen darf erst begonnen werden, wenn</w:t>
      </w:r>
    </w:p>
    <w:p>
      <w:pPr>
        <w:ind w:left="420"/>
      </w:pPr>
      <w:r>
        <w:t xml:space="preserve">1. die bauaufsichtliche Genehmigung zugestellt worden ist und</w:t>
      </w:r>
    </w:p>
    <w:p>
      <w:pPr>
        <w:ind w:left="420"/>
      </w:pPr>
      <w:r>
        <w:t xml:space="preserve">2. der Unternehmer den Beginn der Bauarbeiten dem Eisenbahn-Bundesamt mindestens eine Woche vorher schriftlich angezeigt hat.</w:t>
      </w:r>
    </w:p>
    <w:p>
      <w:r>
        <w:rPr>
          <w:color w:val="555555"/>
          <w:sz w:val="17"/>
        </w:rPr>
        <w:t xml:space="preserve">Zitiervorschlag: § 10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