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MaxOStat (Bayern) — Ordensmatrikel, Mitgliederzahl</w:t>
      </w:r>
    </w:p>
    <w:p>
      <w:r>
        <w:rPr>
          <w:color w:val="555555"/>
          <w:sz w:val="18"/>
        </w:rPr>
        <w:t xml:space="preserve">Maximiliansordensstatut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Von der Staatskanzlei wird über alle mit dem Orden Ausgezeichneten eine Ordensmatrikel geführt und zusammen mit allen auf den Orden bezüglichen Urkunden und Unterlagen im Ordensarchiv aufbewahrt.</w:t>
      </w:r>
    </w:p>
    <w:p>
      <w:r>
        <w:t xml:space="preserve">(2) In der Ordensmatrikel sind die Ordensinhaber mit Namen und Anschrift unter Angabe des Tags der Verleihung vorgetragen.</w:t>
      </w:r>
    </w:p>
    <w:p>
      <w:r>
        <w:t xml:space="preserve">(3) Mitglieder, welche das 85. Lebensjahr vollendet haben, werden in die in Art. 2 Abs. 2 des Maximiliansordensgesetzes (MaxOG) festgelegte Mitgliederzahl nicht eingerechnet. Sie behalten ihre vollen Rechte.</w:t>
      </w:r>
    </w:p>
    <w:p>
      <w:r>
        <w:rPr>
          <w:color w:val="555555"/>
          <w:sz w:val="17"/>
        </w:rPr>
        <w:t xml:space="preserve">Zitiervorschlag: § 6 MaxOStat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https://recht.nulegal.eu/gesetze/MaxOStat/6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