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MaxOG (Bayern) — Ordensstatut</w:t>
      </w:r>
    </w:p>
    <w:p>
      <w:r>
        <w:rPr>
          <w:color w:val="555555"/>
          <w:sz w:val="18"/>
        </w:rPr>
        <w:t xml:space="preserve">Maximiliansordensgesetz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Ausführung dieses Gesetzes erforderlichen Vorschriften erläßt die Staatsregierung in einem Ordensstatut. Dieses enthält auch Vorschriften über den Entzug des Ordens bei Unwürdigkeit des Inhabers.</w:t>
      </w:r>
    </w:p>
    <w:p>
      <w:r>
        <w:t xml:space="preserve">[Amtl. Anm.:] BayRS 1132-4-1-S</w:t>
      </w:r>
    </w:p>
    <w:p>
      <w:r>
        <w:rPr>
          <w:color w:val="555555"/>
          <w:sz w:val="17"/>
        </w:rPr>
        <w:t xml:space="preserve">Zitiervorschlag: Art 8 MaxOG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