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MaxOG (Bayern) — Ordensinhaber</w:t>
      </w:r>
    </w:p>
    <w:p>
      <w:r>
        <w:rPr>
          <w:color w:val="555555"/>
          <w:sz w:val="18"/>
        </w:rPr>
        <w:t xml:space="preserve">Maximiliansordensgesetz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Ausgezeichnet werden vorzugsweise deutsche Wissenschaftler und Künstler. Der Orden wird in einer Klasse an Männer und Frauen verliehen.</w:t>
      </w:r>
    </w:p>
    <w:p>
      <w:r>
        <w:t xml:space="preserve">(2) Die Zahl der Ordensinhaber soll einhundert nicht überschreiten. Scheidet ein Beliehener durch Tod oder aus anderen Gründen aus der Zahl der Ordensinhaber aus, so kann diese entsprechend ergänzt werden.</w:t>
      </w:r>
    </w:p>
    <w:p>
      <w:r>
        <w:rPr>
          <w:color w:val="555555"/>
          <w:sz w:val="17"/>
        </w:rPr>
        <w:t xml:space="preserve">Zitiervorschlag: Art 2 MaxOG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