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MautVvfV — Antragserwiderung</w:t>
      </w:r>
    </w:p>
    <w:p>
      <w:r>
        <w:rPr>
          <w:color w:val="555555"/>
          <w:sz w:val="18"/>
        </w:rPr>
        <w:t xml:space="preserve">Mautdienst-Vermittlungsverfahrens-Verordnung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Vermittlungsstelle übermittelt dem Antragsgegner außer in den Fällen des § 8 den vollständigen Antrag und fordert ihn auf, innerhalb von vier Wochen nach Zugang des Schreibens hierauf schriftlich zu erwidern. Die Frist kann auf Antrag verlängert werden.</w:t>
      </w:r>
    </w:p>
    <w:p>
      <w:r>
        <w:t xml:space="preserve">(2) Erfolgt die Antragserwiderung nicht innerhalb der in Absatz 1 bezeichneten Frist, gilt die Zustimmung zur Vermittlung als verweigert. Ein Vermittlungsverfahren wird in diesem Fall nicht durchgeführt.</w:t>
      </w:r>
    </w:p>
    <w:p>
      <w:r>
        <w:rPr>
          <w:color w:val="555555"/>
          <w:sz w:val="17"/>
        </w:rPr>
        <w:t xml:space="preserve">Zitiervorschlag: § 9 MautVvfV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https://recht.nulegal.eu/gesetze/MautVvfV/9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