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MautVvfV — Beisitzer</w:t>
      </w:r>
    </w:p>
    <w:p>
      <w:r>
        <w:rPr>
          <w:color w:val="555555"/>
          <w:sz w:val="18"/>
        </w:rPr>
        <w:t xml:space="preserve">Mautdienst-Vermittlungsverfahrens-Verordnung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Einleitung des Verfahrens fordert die Vermittlungsstelle die Parteien auf, jeweils einen Beisitzer zu benennen und benachrichtigt die jeweils andere Partei über den benannten Beisitzer.</w:t>
      </w:r>
    </w:p>
    <w:p>
      <w:r>
        <w:rPr>
          <w:color w:val="555555"/>
          <w:sz w:val="17"/>
        </w:rPr>
        <w:t xml:space="preserve">Zitiervorschlag: § 5 MautVvfV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https://recht.nulegal.eu/gesetze/MautVvfV/5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