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20 MautVvfV — Rechtsweg</w:t>
      </w:r>
    </w:p>
    <w:p>
      <w:r>
        <w:rPr>
          <w:color w:val="555555"/>
          <w:sz w:val="18"/>
        </w:rPr>
        <w:t xml:space="preserve">Mautdienst-Vermittlungsverfahrens-Verordnung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Einleitung eines Vermittlungsverfahrens berührt nicht das Recht der Parteien, den Rechtsweg zu beschreiten.</w:t>
      </w:r>
    </w:p>
    <w:p>
      <w:r>
        <w:rPr>
          <w:color w:val="555555"/>
          <w:sz w:val="17"/>
        </w:rPr>
        <w:t xml:space="preserve">Zitiervorschlag: § 20 MautVvfV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https://recht.nulegal.eu/gesetze/MautVvfV/20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