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MautVvfV — Beendigung des Verfahrens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ist beendet, wenn</w:t>
      </w:r>
    </w:p>
    <w:p>
      <w:pPr>
        <w:ind w:left="420"/>
      </w:pPr>
      <w:r>
        <w:t xml:space="preserve">1. der Spruchkörper zu dem Sachverhalt Stellung genommen hat,</w:t>
      </w:r>
    </w:p>
    <w:p>
      <w:pPr>
        <w:ind w:left="420"/>
      </w:pPr>
      <w:r>
        <w:t xml:space="preserve">2. sich die Parteien geeinigt haben,</w:t>
      </w:r>
    </w:p>
    <w:p>
      <w:pPr>
        <w:ind w:left="420"/>
      </w:pPr>
      <w:r>
        <w:t xml:space="preserve">3. der Antragsteller seinen Antrag auf Vermittlung zurückgenommen hat oder</w:t>
      </w:r>
    </w:p>
    <w:p>
      <w:pPr>
        <w:ind w:left="420"/>
      </w:pPr>
      <w:r>
        <w:t xml:space="preserve">4. der Antragsgegner seine Zustimmung zur Durchführung des Vermittlungsverfahrens zurückgenommen hat.</w:t>
      </w:r>
    </w:p>
    <w:p>
      <w:r>
        <w:rPr>
          <w:color w:val="555555"/>
          <w:sz w:val="17"/>
        </w:rPr>
        <w:t xml:space="preserve">Zitiervorschlag: § 16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