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MautVvfV — Form und Fristen</w:t>
      </w:r>
    </w:p>
    <w:p>
      <w:r>
        <w:rPr>
          <w:color w:val="555555"/>
          <w:sz w:val="18"/>
        </w:rPr>
        <w:t xml:space="preserve">Mautdienst-Vermittlungsverfahrens-Verordnung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Einlassungen der Parteien bedürfen der Schriftform. Schriftform im Sinne dieser Verordnung ist auch durch die Verwendung elektronischer Post gewahrt.</w:t>
      </w:r>
    </w:p>
    <w:p>
      <w:r>
        <w:t xml:space="preserve">(2) Die Vermittlungsstelle kann im Rahmen des Verfahrens Fristen setzen.</w:t>
      </w:r>
    </w:p>
    <w:p>
      <w:r>
        <w:rPr>
          <w:color w:val="555555"/>
          <w:sz w:val="17"/>
        </w:rPr>
        <w:t xml:space="preserve">Zitiervorschlag: § 13 MautVvfV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https://recht.nulegal.eu/gesetze/MautVvfV/13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