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MautVvfV — Anwendungsbereich</w:t>
      </w:r>
    </w:p>
    <w:p>
      <w:r>
        <w:rPr>
          <w:color w:val="555555"/>
          <w:sz w:val="18"/>
        </w:rPr>
        <w:t xml:space="preserve">Mautdienst-Vermittlungsverfahrens-Verordnung</w:t>
      </w:r>
    </w:p>
    <w:p>
      <w:r>
        <w:rPr>
          <w:color w:val="555555"/>
          <w:sz w:val="18"/>
        </w:rPr>
        <w:t xml:space="preserve">Stand: 10.06.2019 (konsolidierte Textfassung, kein amtliches Inkrafttretensdatum)</w:t>
      </w:r>
    </w:p>
    <w:p>
      <w:r>
        <w:t xml:space="preserve">Diese Verordnung regelt das Verfahren zur Vermittlung bei Streitigkeiten zwischen den für die Erhebung einer Maut in Bund und Ländern zuständigen Behörden und registrierten Anbietern mautdienstbezogener Leistungen nach den §§ 28 bis 30 des Mautsystemgesetzes.</w:t>
      </w:r>
    </w:p>
    <w:p>
      <w:r>
        <w:rPr>
          <w:color w:val="555555"/>
          <w:sz w:val="17"/>
        </w:rPr>
        <w:t xml:space="preserve">Zitiervorschlag: § 1 MautVvfV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https://recht.nulegal.eu/gesetze/MautVvfV/1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