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MautSysG 2014 — Registrierungsverfahren</w:t>
      </w:r>
    </w:p>
    <w:p>
      <w:r>
        <w:rPr>
          <w:color w:val="555555"/>
          <w:sz w:val="18"/>
        </w:rPr>
        <w:t xml:space="preserve">Mautsystemgesetz</w:t>
      </w:r>
    </w:p>
    <w:p>
      <w:r>
        <w:rPr>
          <w:color w:val="555555"/>
          <w:sz w:val="18"/>
        </w:rPr>
        <w:t xml:space="preserve">Stand: 09.03.2023 (konsolidierte Textfassung, kein amtliches Inkrafttretensdatum)</w:t>
      </w:r>
    </w:p>
    <w:p>
      <w:r>
        <w:t xml:space="preserve">(1) Der Antrag auf Registrierung als Anbieter ist schriftlich beim Bundesamt für Logistik und Mobilität zu stellen. Zum Nachweis des Vorliegens der Voraussetzungen des § 5 sind dem Antrag die hierfür erforderlichen Unterlagen und Bescheinigungen, insbesondere ein Auszug über die im Handelsregister enthaltenen Eintragungen des Antragstellers als Unternehmer und der für die Führung der Geschäfte bestellten Personen, beizufügen. Ferner hat der Antragsteller Nachweise darüber beizufügen, dass die zur Führung der Geschäfte bestellten Personen zum Zweck der Prüfung der Zuverlässigkeit jeweils einen Antrag auf Vorlage eines Führungszeugnisses beim Bundesamt für Logistik und Mobilität gestellt haben. Namen und Anschriften natürlicher Personen sind zu übermitteln, soweit diese in Unterlagen und Bescheinigungen nach Satz 2 enthalten sind. Auf Verlangen des Bundesamtes für Logistik und Mobilität hat der Antragsteller die Originale oder beglaubigte Kopien der Unterlagen und Bescheinigungen vorzulegen.</w:t>
      </w:r>
    </w:p>
    <w:p>
      <w:r>
        <w:t xml:space="preserve">(2) Jeder Antragsteller ist verpflichtet, dem Bundesamt für Logistik und Mobilität Änderungen der tatsächlichen Verhältnisse, auf die sich die Prüfung des Nachweises der Erfüllung der Voraussetzungen nach § 5 erstreckt, unverzüglich schriftlich mitzuteilen.</w:t>
      </w:r>
    </w:p>
    <w:p>
      <w:r>
        <w:t xml:space="preserve">(3) Das Bundesamt für Logistik und Mobilität ist befugt, die in den in den Absätzen 1 und 2 bezeichneten Unterlagen und Bescheinigungen enthaltenen personenbezogenen Daten zu dem in Absatz 1 Satz 2 genannten Zweck zu erheben, zu speichern und zu verwenden. Die personenbezogenen Daten nach Satz 1 sind vom Bundesamt für Logistik und Mobilität</w:t>
      </w:r>
    </w:p>
    <w:p>
      <w:pPr>
        <w:ind w:left="420"/>
      </w:pPr>
      <w:r>
        <w:t xml:space="preserve">1. bei Nichtregistrierung des Antragstellers als Anbieter zwei Jahre nach bestandskräftiger oder rechtskräftiger Ablehnung des Antrags auf Registrierung,</w:t>
      </w:r>
    </w:p>
    <w:p>
      <w:pPr>
        <w:ind w:left="420"/>
      </w:pPr>
      <w:r>
        <w:t xml:space="preserve">2. bei Registrierung des Antragstellers als Anbieter zwei Jahre nach bestandskräftiger oder rechtskräftiger Beendigung der Registrierung</w:t>
      </w:r>
    </w:p>
    <w:p>
      <w:r>
        <w:t xml:space="preserve">unverzüglich zu löschen.</w:t>
      </w:r>
    </w:p>
    <w:p>
      <w:r>
        <w:rPr>
          <w:color w:val="555555"/>
          <w:sz w:val="17"/>
        </w:rPr>
        <w:t xml:space="preserve">Zitiervorschlag: § 6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