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MautSysG 2014 — Pilot-Mautsysteme</w:t>
      </w:r>
    </w:p>
    <w:p>
      <w:r>
        <w:rPr>
          <w:color w:val="555555"/>
          <w:sz w:val="18"/>
        </w:rPr>
        <w:t xml:space="preserve">Mautsystemgesetz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Der Bund und die Länder können im Interesse der technischen Weiterentwicklung des in § 3 Absatz 1 bezeichneten Mautdienstes zeitlich befristet auf begrenzten Bereichen ihrer mautpflichtigen Streckennetze und parallel zu ihren elektronischen Mautsystemen nach § 3 Pilot-Mautsysteme zulassen, die neue Technologien oder Konzepte einsetzen, die mit einer oder mehreren Bestimmungen der Richtlinie (EU) 2019/520 oder den Vorschriften dieses Gesetzes mit Ausnahme der hierin und in anderen Gesetzen und Verordnungen enthaltenen datenschutzrechtlichen Vorschriften und Verpflichtungen zur Wahrung von Betriebs- und Geschäftsgeheimnissen nicht übereinstimmen. Vor Erteilung einer solchen Zulassung muss die zuständige Behörde des Bundes oder Landes die notwendige Genehmigung der Kommission einholen.</w:t>
      </w:r>
    </w:p>
    <w:p>
      <w:r>
        <w:t xml:space="preserve">(2) Der anfängliche Geltungszeitraum einer solchen Zulassung darf nicht länger als drei Jahre betragen.</w:t>
      </w:r>
    </w:p>
    <w:p>
      <w:r>
        <w:t xml:space="preserve">(3) Die Anbieter müssen sich nicht an Pilot-Mautsystemen beteiligen.</w:t>
      </w:r>
    </w:p>
    <w:p>
      <w:r>
        <w:rPr>
          <w:color w:val="555555"/>
          <w:sz w:val="17"/>
        </w:rPr>
        <w:t xml:space="preserve">Zitiervorschlag: § 32 MautSysG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https://recht.nulegal.eu/gesetze/MautSysG%202014/32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