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MautSysG 2014 — Europäischer elektronischer Mautdienst</w:t>
      </w:r>
    </w:p>
    <w:p>
      <w:r>
        <w:rPr>
          <w:color w:val="555555"/>
          <w:sz w:val="18"/>
        </w:rPr>
        <w:t xml:space="preserve">Mautsystemgesetz</w:t>
      </w:r>
    </w:p>
    <w:p>
      <w:r>
        <w:rPr>
          <w:color w:val="555555"/>
          <w:sz w:val="18"/>
        </w:rPr>
        <w:t xml:space="preserve">Stand: 01.10.2021 (konsolidierte Textfassung, kein amtliches Inkrafttretensdatum)</w:t>
      </w:r>
    </w:p>
    <w:p>
      <w:r>
        <w:t xml:space="preserve">(1) Der europäische elektronische Mautdienst ist ein Dienst, der den Nutzern die Zahlung der Maut für ein Fahrzeug in mehreren mautpflichtigen Streckennetzen auf Grundlage eines einzigen Vertrags und mit einem Bordgerät ermöglicht (Mautdienst). Der Mautdienst wird von Anbietern erbracht, die den Nutzern durch einen Vertrag Zugang zu mehreren mautpflichtigen Streckennetzen gewähren, die Maut des Mautschuldners an die für die Erhebung der Maut in Bund und Ländern zuständige Behörde zahlen und im Mitgliedstaat registriert sind, in dem sie ihren Sitz oder eine ständige Niederlassung haben.</w:t>
      </w:r>
    </w:p>
    <w:p>
      <w:r>
        <w:t xml:space="preserve">(2) Bund und Länder haben ihre elektronischen Mautsysteme nach Maßgabe dieses Gesetzes so zu betreiben, dass der Mautdienst ermöglicht wird.</w:t>
      </w:r>
    </w:p>
    <w:p>
      <w:r>
        <w:rPr>
          <w:color w:val="555555"/>
          <w:sz w:val="17"/>
        </w:rPr>
        <w:t xml:space="preserve">Zitiervorschlag: § 3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