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MautSysG 2014 — Technische Anforderungen</w:t>
      </w:r>
    </w:p>
    <w:p>
      <w:r>
        <w:rPr>
          <w:color w:val="555555"/>
          <w:sz w:val="18"/>
        </w:rPr>
        <w:t xml:space="preserve">Mautsystemgesetz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Elektronische Mautsysteme, die von Bund und Ländern in Betrieb genommen oder betrieben werden, dürfen für die Erhebung der Maut nur eine oder mehrere der folgenden Techniken verwenden:</w:t>
      </w:r>
    </w:p>
    <w:p>
      <w:pPr>
        <w:ind w:left="420"/>
      </w:pPr>
      <w:r>
        <w:t xml:space="preserve">1. Satellitenortung,</w:t>
      </w:r>
    </w:p>
    <w:p>
      <w:pPr>
        <w:ind w:left="420"/>
      </w:pPr>
      <w:r>
        <w:t xml:space="preserve">2. Mobilfunk nach der GSM/GPRS-Norm,</w:t>
      </w:r>
    </w:p>
    <w:p>
      <w:pPr>
        <w:ind w:left="420"/>
      </w:pPr>
      <w:r>
        <w:t xml:space="preserve">3. Mikrowellentechnik (5,8 GHz).</w:t>
      </w:r>
    </w:p>
    <w:p>
      <w:r>
        <w:rPr>
          <w:color w:val="555555"/>
          <w:sz w:val="17"/>
        </w:rPr>
        <w:t xml:space="preserve">Zitiervorschlag: § 2 MautSysG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https://recht.nulegal.eu/gesetze/MautSysG%202014/2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