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MautSysG 2014 — Maut-Basisdaten</w:t>
      </w:r>
    </w:p>
    <w:p>
      <w:r>
        <w:rPr>
          <w:color w:val="555555"/>
          <w:sz w:val="18"/>
        </w:rPr>
        <w:t xml:space="preserve">Mautsystemgesetz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Die für die Erhebung einer Maut zuständige Behörde des Bundes oder Landes gibt die Maut-Basisdaten vor, die für die Berechnung der Maut in dem jeweiligen mautpflichtigen Streckennetz und für die Durchführung der Mauttransaktion erforderlich sind.</w:t>
      </w:r>
    </w:p>
    <w:p>
      <w:r>
        <w:t xml:space="preserve">(2) Maut-Basisdaten sind:</w:t>
      </w:r>
    </w:p>
    <w:p>
      <w:pPr>
        <w:ind w:left="420"/>
      </w:pPr>
      <w:r>
        <w:t xml:space="preserve">1. das mautpflichtige Streckennetz, insbesondere dessen geografische Ausdehnung und die Infrastrukturen, für die Maut erhoben wird,</w:t>
      </w:r>
    </w:p>
    <w:p>
      <w:pPr>
        <w:ind w:left="420"/>
      </w:pPr>
      <w:r>
        <w:t xml:space="preserve">2. die Art der Maut und die Erhebungsgrundsätze,</w:t>
      </w:r>
    </w:p>
    <w:p>
      <w:pPr>
        <w:ind w:left="420"/>
      </w:pPr>
      <w:r>
        <w:t xml:space="preserve">3. die Fahrzeuge, für die Maut erhoben wird,</w:t>
      </w:r>
    </w:p>
    <w:p>
      <w:pPr>
        <w:ind w:left="420"/>
      </w:pPr>
      <w:r>
        <w:t xml:space="preserve">4. die Merkmale für die Fahrzeugklassifizierung und ihre Zuordnung zur Gebührenstruktur des Bundes oder Landes,</w:t>
      </w:r>
    </w:p>
    <w:p>
      <w:pPr>
        <w:ind w:left="420"/>
      </w:pPr>
      <w:r>
        <w:t xml:space="preserve">5. die geforderten Mautbuchungsnachweise.</w:t>
      </w:r>
    </w:p>
    <w:p>
      <w:r>
        <w:t xml:space="preserve">(3) Die in Absatz 2 genannten Maut-Basisdaten und jede Änderung der Maut-Basisdaten sind dem Bundesamt für Logistik und Mobilität entsprechend der Frist des § 9 Absatz 2 elektronisch mitzuteilen.</w:t>
      </w:r>
    </w:p>
    <w:p>
      <w:r>
        <w:rPr>
          <w:color w:val="555555"/>
          <w:sz w:val="17"/>
        </w:rPr>
        <w:t xml:space="preserve">Zitiervorschlag: § 17 MautSysG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https://recht.nulegal.eu/gesetze/MautSysG%202014/17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