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10a MautSysG 2014 — Vergütung</w:t>
      </w:r>
    </w:p>
    <w:p>
      <w:r>
        <w:rPr>
          <w:color w:val="555555"/>
          <w:sz w:val="18"/>
        </w:rPr>
        <w:t xml:space="preserve">Mautsystemgesetz</w:t>
      </w:r>
    </w:p>
    <w:p>
      <w:r>
        <w:rPr>
          <w:color w:val="555555"/>
          <w:sz w:val="18"/>
        </w:rPr>
        <w:t xml:space="preserve">Stand: 01.10.2021 (konsolidierte Textfassung, kein amtliches Inkrafttretensdatum)</w:t>
      </w:r>
    </w:p>
    <w:p>
      <w:r>
        <w:t xml:space="preserve">(1) Die für die Erhebung der Maut zuständige Behörde des Bundes oder eines Landes zahlt jedem zugelassenen Anbieter eine Vergütung. Die Methode der Berechnung wird von der zuständigen Behörde transparent, diskriminierungsfrei und für alle Anbieter, die für das jeweilige mautpflichtige Streckennetz zugelassen sind, identisch festgelegt und in den Gebietsvorgaben nach § 9 veröffentlicht.</w:t>
      </w:r>
    </w:p>
    <w:p>
      <w:r>
        <w:t xml:space="preserve">(2) In mautpflichtigen Streckennetzen mit einem Betreiber, dem der Betrieb eines Systems zur Erhebung der Maut übertragen oder der beauftragt wurde, an der Erhebung der Maut mitzuwirken, muss die Methode der Berechnung der Vergütung der Anbieter derselben Struktur folgen wie bei der Vergütung vergleichbarer Dienste des Betreibers. Die Höhe der Vergütung der Anbieter kann sich von der Vergütung des Betreibers unterscheiden, soweit</w:t>
      </w:r>
    </w:p>
    <w:p>
      <w:pPr>
        <w:ind w:left="420"/>
      </w:pPr>
      <w:r>
        <w:t xml:space="preserve">1. der Betreiber eine Vergütung für Kosten zur Erfüllung von Anforderungen und Verpflichtungen erhält, die nicht für die Anbieter gelten, und</w:t>
      </w:r>
    </w:p>
    <w:p>
      <w:pPr>
        <w:ind w:left="420"/>
      </w:pPr>
      <w:r>
        <w:t xml:space="preserve">2. die zuständige Behörde die Vergütung der Anbieter um feste Entgelte für die Kosten reduziert, die ihr für die Bereitstellung, den Betrieb und die Instandhaltung eines den Anforderungen des Mautdienstes entsprechenden Systems in ihrem mautpflichtigen Streckennetz entstehen, einschließlich der Zulassungskosten, sofern die Kosten für die Bereitstellung, den Betrieb und die Instandhaltung eines den Anforderungen des Mautdienstes entsprechenden Systems in ihrem mautpflichtigen Streckennetz nicht in der Maut enthalten sind.</w:t>
      </w:r>
    </w:p>
    <w:p>
      <w:r>
        <w:rPr>
          <w:color w:val="555555"/>
          <w:sz w:val="17"/>
        </w:rPr>
        <w:t xml:space="preserve">Zitiervorschlag: § 10a MautSysG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https://recht.nulegal.eu/gesetze/MautSysG%202014/10a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