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MautSysG 2014 — Zulassung von Anbietern</w:t>
      </w:r>
    </w:p>
    <w:p>
      <w:r>
        <w:rPr>
          <w:color w:val="555555"/>
          <w:sz w:val="18"/>
        </w:rPr>
        <w:t xml:space="preserve">Mautsystemgesetz</w:t>
      </w:r>
    </w:p>
    <w:p>
      <w:r>
        <w:rPr>
          <w:color w:val="555555"/>
          <w:sz w:val="18"/>
        </w:rPr>
        <w:t xml:space="preserve">Stand: 10.06.2019 (konsolidierte Textfassung, kein amtliches Inkrafttretensdatum)</w:t>
      </w:r>
    </w:p>
    <w:p>
      <w:r>
        <w:t xml:space="preserve">(1) Ein Anbieter kann mautdienstbezogene Leistungen innerhalb eines mautpflichtigen Streckennetzes nur erbringen, wenn er von der jeweils zuständigen Behörde des Bundes oder Landes dafür zugelassen ist.</w:t>
      </w:r>
    </w:p>
    <w:p>
      <w:r>
        <w:t xml:space="preserve">(2) Bund und Länder lassen auf Antrag jeden Anbieter zu, der mautdienstbezogene Leistungen in ihrem Zuständigkeitsbereich anbieten will, wenn dieser die jeweiligen nach § 9 Absatz 1 geregelten Gebietsvorgaben und die jeweiligen Anforderungen nach § 22 Absatz 2 und 3 erfüllt. Die Zulassung eines Anbieters für ein mautpflichtiges Streckennetz erfolgt durch öffentlich-rechtlichen Vertrag zwischen der für die Erhebung der Maut in diesem mautpflichtigen Streckennetz zuständigen Behörde und dem Anbieter.</w:t>
      </w:r>
    </w:p>
    <w:p>
      <w:r>
        <w:t xml:space="preserve">(3) Die Prüfung des Vorliegens der Zulassungsvoraussetzungen erfolgt auf der Grundlage eines öffentlich-rechtlichen Vertrages zwischen der für die Erhebung der Maut in dem mautpflichtigen Streckennetz zuständigen Behörde und dem Anbieter, in dem die für die Prüfung erforderlichen Rechte und Pflichten der Beteiligten zu regeln sind (Prüfvereinbarung).</w:t>
      </w:r>
    </w:p>
    <w:p>
      <w:r>
        <w:t xml:space="preserve">(4) Können sich die zuständige Behörde und ein registrierter Anbieter über den Abschluss des Vertrages nach Absatz 2 Satz 2 oder Absatz 3 oder einzelne seiner Regelungen nicht verständigen, kann jede Verhandlungspartei die Vermittlungsstelle nach § 30 Absatz 1 anrufen.</w:t>
      </w:r>
    </w:p>
    <w:p>
      <w:r>
        <w:t xml:space="preserve">(5) Bund und Länder haben in nicht personenbezogener Form im Bundesanzeiger alle Anbieter bekannt zu machen, die von ihnen nach Absatz 2 zugelassen sind.</w:t>
      </w:r>
    </w:p>
    <w:p>
      <w:r>
        <w:rPr>
          <w:color w:val="555555"/>
          <w:sz w:val="17"/>
        </w:rPr>
        <w:t xml:space="preserve">Zitiervorschlag: § 10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