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MautRegV — Bekanntmachung des Mautdienstregisters</w:t>
      </w:r>
    </w:p>
    <w:p>
      <w:r>
        <w:rPr>
          <w:color w:val="555555"/>
          <w:sz w:val="18"/>
        </w:rPr>
        <w:t xml:space="preserve">Mautdienst-Register-Verordnung</w:t>
      </w:r>
    </w:p>
    <w:p>
      <w:r>
        <w:rPr>
          <w:color w:val="555555"/>
          <w:sz w:val="18"/>
        </w:rPr>
        <w:t xml:space="preserve">Stand: 09.03.2023 (konsolidierte Textfassung, kein amtliches Inkrafttretensdatum)</w:t>
      </w:r>
    </w:p>
    <w:p>
      <w:r>
        <w:t xml:space="preserve">(1) Das Bundesamt für Logistik und Mobilität veröffentlicht das Mautdienstregister ergänzend zur Bekanntmachung nach § 21 Absatz 3 des Mautsystemgesetzes in nicht personenbezogener Form auf seiner Internetseite.</w:t>
      </w:r>
    </w:p>
    <w:p>
      <w:r>
        <w:t xml:space="preserve">(2) Änderungen des Mautdienstregisters macht das Bundesamt für Logistik und Mobilität nach jeder Aktualisierung bekannt.</w:t>
      </w:r>
    </w:p>
    <w:p>
      <w:r>
        <w:rPr>
          <w:color w:val="555555"/>
          <w:sz w:val="17"/>
        </w:rPr>
        <w:t xml:space="preserve">Zitiervorschlag: § 6 MautRegV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https://recht.nulegal.eu/gesetze/MautRegV/6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