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MautRegV — Aktualisierung des Mautdienstregisters</w:t>
      </w:r>
    </w:p>
    <w:p>
      <w:r>
        <w:rPr>
          <w:color w:val="555555"/>
          <w:sz w:val="18"/>
        </w:rPr>
        <w:t xml:space="preserve">Mautdienst-Register-Verordnung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Das Bundesamt für Logistik und Mobilität aktualisiert das Mautdienstregister mindestens einmal jährlich anhand der Ergebnisse der Überprüfungen nach § 7 Absatz 2 Satz 1 und § 12 Absatz 2 Satz 3 des Mautsystemgesetzes.</w:t>
      </w:r>
    </w:p>
    <w:p>
      <w:r>
        <w:t xml:space="preserve">(2) Das Bundesamt für Logistik und Mobilität aktualisiert den Inhalt des Mautdienstregisters, wenn sich aus der Übermittlung der Daten durch die zuständigen Behörden nach § 2 Änderungen an den Inhalten nach § 3 ergeben.</w:t>
      </w:r>
    </w:p>
    <w:p>
      <w:r>
        <w:rPr>
          <w:color w:val="555555"/>
          <w:sz w:val="17"/>
        </w:rPr>
        <w:t xml:space="preserve">Zitiervorschlag: § 5 MautRegV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https://recht.nulegal.eu/gesetze/MautRegV/5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