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MautRegV — Angaben im Mautdienstregister</w:t>
      </w:r>
    </w:p>
    <w:p>
      <w:r>
        <w:rPr>
          <w:color w:val="555555"/>
          <w:sz w:val="18"/>
        </w:rPr>
        <w:t xml:space="preserve">Mautdienst-Register-Verordnung</w:t>
      </w:r>
    </w:p>
    <w:p>
      <w:r>
        <w:rPr>
          <w:color w:val="555555"/>
          <w:sz w:val="18"/>
        </w:rPr>
        <w:t xml:space="preserve">Stand: 09.03.2023 (konsolidierte Textfassung, kein amtliches Inkrafttretensdatum)</w:t>
      </w:r>
    </w:p>
    <w:p>
      <w:r>
        <w:t xml:space="preserve">Das Bundesamt für Logistik und Mobilität veröffentlicht im Mautdienstregister nach § 21 des Mautsystemgesetzes in nicht personenbezogener Form Angaben zu</w:t>
      </w:r>
    </w:p>
    <w:p>
      <w:pPr>
        <w:ind w:left="420"/>
      </w:pPr>
      <w:r>
        <w:t xml:space="preserve">1. den nach § 2 Nummer 1, 2, 3 Buchstabe a und c bis f übermittelten Angaben,</w:t>
      </w:r>
    </w:p>
    <w:p>
      <w:pPr>
        <w:ind w:left="420"/>
      </w:pPr>
      <w:r>
        <w:t xml:space="preserve">2. den nach § 5 des Mautsystemgesetzes registrierten Anbietern einschließlich deren</w:t>
      </w:r>
    </w:p>
    <w:p>
      <w:pPr>
        <w:ind w:left="780"/>
      </w:pPr>
      <w:r>
        <w:t xml:space="preserve">a) Firmenbezeichnung,</w:t>
      </w:r>
    </w:p>
    <w:p>
      <w:pPr>
        <w:ind w:left="780"/>
      </w:pPr>
      <w:r>
        <w:t xml:space="preserve">b) Geschäftsadresse,</w:t>
      </w:r>
    </w:p>
    <w:p>
      <w:pPr>
        <w:ind w:left="780"/>
      </w:pPr>
      <w:r>
        <w:t xml:space="preserve">c) Internetadresse,</w:t>
      </w:r>
    </w:p>
    <w:p>
      <w:pPr>
        <w:ind w:left="420"/>
      </w:pPr>
      <w:r>
        <w:t xml:space="preserve">3. den Schlussfolgerungen des Audits nach § 5 Nummer 6 des Mautsystemgesetzes und Angaben über Änderungen aus den Ergebnissen der Überprüfungen nach § 7 Absatz 2 Satz 1 des Mautsystemgesetzes sowie</w:t>
      </w:r>
    </w:p>
    <w:p>
      <w:pPr>
        <w:ind w:left="420"/>
      </w:pPr>
      <w:r>
        <w:t xml:space="preserve">4. dem Namen und der Adresse der zentralen Anlaufstelle nach § 37 des Mautsystemgesetzes, einschließlich deren zentraler E-Mail-Adresse und deren zentraler Telefonnummer.</w:t>
      </w:r>
    </w:p>
    <w:p>
      <w:r>
        <w:rPr>
          <w:color w:val="555555"/>
          <w:sz w:val="17"/>
        </w:rPr>
        <w:t xml:space="preserve">Zitiervorschlag: § 3 MautRegV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https://recht.nulegal.eu/gesetze/MautRegV/3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