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MautRegV — Anwendungsbereich</w:t>
      </w:r>
    </w:p>
    <w:p>
      <w:r>
        <w:rPr>
          <w:color w:val="555555"/>
          <w:sz w:val="18"/>
        </w:rPr>
        <w:t xml:space="preserve">Mautdienst-Register-Verordnung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Einzelheiten zu den Angaben im Mautdienstregister und das Verfahren zur Aktualisierung und Bekanntmachung des Registers nach § 21 des Mautsystemgesetzes.</w:t>
      </w:r>
    </w:p>
    <w:p>
      <w:r>
        <w:rPr>
          <w:color w:val="555555"/>
          <w:sz w:val="17"/>
        </w:rPr>
        <w:t xml:space="preserve">Zitiervorschlag: § 1 MautRegV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https://recht.nulegal.eu/gesetze/MautRegV/1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