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MauerV 2024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Auf Grund des § 6 des Mauergrundstücksgesetzes, der durch Artikel 2 Nummer 2 des Gesetzes vom 13. November 2023 (BGBl. 2023 I Nr. 310)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MauerV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