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MauerV 2024 — Inkrafttreten, Außerkrafttreten</w:t>
      </w:r>
    </w:p>
    <w:p>
      <w:r>
        <w:rPr>
          <w:color w:val="555555"/>
          <w:sz w:val="18"/>
        </w:rPr>
        <w:t xml:space="preserve">Mauergrundstücksverordnung</w:t>
      </w:r>
    </w:p>
    <w:p>
      <w:r>
        <w:rPr>
          <w:color w:val="555555"/>
          <w:sz w:val="18"/>
        </w:rPr>
        <w:t xml:space="preserve">Stand: 01.02.2024 (konsolidierte Textfassung, kein amtliches Inkrafttretensdatum)</w:t>
      </w:r>
    </w:p>
    <w:p>
      <w:r>
        <w:t xml:space="preserve">Diese Verordnung tritt am 1. Februar 2024 in Kraft. Gleichzeitig tritt die Mauergrundstücksverordnung vom 2. August 2001 (BGBl. I S. 2128) außer Kraft.</w:t>
      </w:r>
    </w:p>
    <w:p>
      <w:r>
        <w:rPr>
          <w:color w:val="555555"/>
          <w:sz w:val="17"/>
        </w:rPr>
        <w:t xml:space="preserve">Zitiervorschlag: § 3 MauerV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https://recht.nulegal.eu/gesetze/MauerV%202024/3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