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MauerG — Rechtsweg</w:t>
      </w:r>
    </w:p>
    <w:p>
      <w:r>
        <w:rPr>
          <w:color w:val="555555"/>
          <w:sz w:val="18"/>
        </w:rPr>
        <w:t xml:space="preserve">Mauergrundstücksgesetz</w:t>
      </w:r>
    </w:p>
    <w:p>
      <w:r>
        <w:rPr>
          <w:color w:val="555555"/>
          <w:sz w:val="18"/>
        </w:rPr>
        <w:t xml:space="preserve">Stand: 10.06.2019 (konsolidierte Textfassung, kein amtliches Inkrafttretensdatum)</w:t>
      </w:r>
    </w:p>
    <w:p>
      <w:r>
        <w:t xml:space="preserve">(1) Für Streitigkeiten aus diesem Gesetz ist der ordentliche Rechtsweg gegeben. Ein Widerspruchsverfahren findet nicht statt.</w:t>
      </w:r>
    </w:p>
    <w:p>
      <w:r>
        <w:t xml:space="preserve">(2) Eine Klage ist innerhalb einer Frist von zwei Monaten nach Zustellung des Bescheides zu erheben. Die Klagefrist ist eine Notfrist im Sinne der Zivilprozeßordnung.</w:t>
      </w:r>
    </w:p>
    <w:p>
      <w:r>
        <w:t xml:space="preserve">(3) Die Klagefrist beginnt nur zu laufen, wenn der Berechtigte über die Klagemöglichkeit, das Gericht, bei dem die Klage zu erheben ist, dessen Sitz und die einzuhaltende Frist schriftlich belehrt worden ist. § 58 Abs. 2 der Verwaltungsgerichtsordnung findet entsprechende Anwendung.</w:t>
      </w:r>
    </w:p>
    <w:p>
      <w:r>
        <w:rPr>
          <w:color w:val="555555"/>
          <w:sz w:val="17"/>
        </w:rPr>
        <w:t xml:space="preserve">Zitiervorschlag: § 7 MauerG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https://recht.nulegal.eu/gesetze/MauerG/7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