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MauerG — Rechtsverordnungsermächtigung</w:t>
      </w:r>
    </w:p>
    <w:p>
      <w:r>
        <w:rPr>
          <w:color w:val="555555"/>
          <w:sz w:val="18"/>
        </w:rPr>
        <w:t xml:space="preserve">Mauergrundstücksgesetz</w:t>
      </w:r>
    </w:p>
    <w:p>
      <w:r>
        <w:rPr>
          <w:color w:val="555555"/>
          <w:sz w:val="18"/>
        </w:rPr>
        <w:t xml:space="preserve">Stand: 01.01.2024 (konsolidierte Textfassung, kein amtliches Inkrafttretensdatum)</w:t>
      </w:r>
    </w:p>
    <w:p>
      <w:r>
        <w:t xml:space="preserve">Das Bundesministerium der Finanzen wird ermächtigt, durch Rechtsverordnung ohne Zustimmung des Bundesrates die Einzelheiten der Auflösung des Fonds, der Verwaltung der Mittel zur Förderung von wirtschaftlichen, sozialen und kulturellen Zwecken gemäß § 5 Absatz 2 sowie der Zahlungsmodalitäten nach § 3 zu regeln.</w:t>
      </w:r>
    </w:p>
    <w:p>
      <w:r>
        <w:rPr>
          <w:color w:val="555555"/>
          <w:sz w:val="17"/>
        </w:rPr>
        <w:t xml:space="preserve">Zitiervorschlag: § 6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