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MauerG — Antragsfrist</w:t>
      </w:r>
    </w:p>
    <w:p>
      <w:r>
        <w:rPr>
          <w:color w:val="555555"/>
          <w:sz w:val="18"/>
        </w:rPr>
        <w:t xml:space="preserve">Mauergrundstücksgesetz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Anträge auf Rückerwerb müssen bis zum Ablauf des 31. Januar 1997 bei der Oberfinanzdirektion gestellt werden, in deren Bezirk der Vermögenswert belegen ist.</w:t>
      </w:r>
    </w:p>
    <w:p>
      <w:r>
        <w:rPr>
          <w:color w:val="555555"/>
          <w:sz w:val="17"/>
        </w:rPr>
        <w:t xml:space="preserve">Zitiervorschlag: § 4 MauerG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