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MauerG — Erwerb</w:t>
      </w:r>
    </w:p>
    <w:p>
      <w:r>
        <w:rPr>
          <w:color w:val="555555"/>
          <w:sz w:val="18"/>
        </w:rPr>
        <w:t xml:space="preserve">Mauergrundstücksgesetz</w:t>
      </w:r>
    </w:p>
    <w:p>
      <w:r>
        <w:rPr>
          <w:color w:val="555555"/>
          <w:sz w:val="18"/>
        </w:rPr>
        <w:t xml:space="preserve">Stand: 10.06.2019 (konsolidierte Textfassung, kein amtliches Inkrafttretensdatum)</w:t>
      </w:r>
    </w:p>
    <w:p>
      <w:r>
        <w:t xml:space="preserve">(1) Ehemalige Eigentümer oder deren Rechtsnachfolger (Berechtigte) können ihre früheren, jetzt bundeseigenen Mauer- und Grenzgrundstücke zu 25 vom Hundert des Verkehrswerts zum Zeitpunkt des Vertragsschlusses erwerben, sofern der Bund sie nicht für dringende eigene öffentliche Zwecke verwenden oder im öffentlichen Interesse an Dritte veräußern will. Wenn die sofortige Entrichtung des Kaufpreises für den Käufer mit einer erheblichen Härte verbunden ist, kann der Kaufpreis gegen eine Verzinsung von 4 vom Hundert gestundet werden.</w:t>
      </w:r>
    </w:p>
    <w:p>
      <w:r>
        <w:t xml:space="preserve">(2) Aus den Einnahmen nach Absatz 1 dürfen anfallende Nebenkosten (z.B. Kosten einer Vermessung, Abschätzung und der Herrichtung) geleistet werden, soweit sie ausnahmsweise vom Bund zu tragen sind. Erstattungen zuviel gezahlter Beträge dürfen von den Einnahmen abgesetzt werden.</w:t>
      </w:r>
    </w:p>
    <w:p>
      <w:r>
        <w:t xml:space="preserve">(3) Der Erwerb nach Absatz 1 ist von der Grunderwerbsteuer befreit. Er ist nicht als Anschaffung im Sinne des § 23 des Einkommensteuergesetzes zu behandeln.</w:t>
      </w:r>
    </w:p>
    <w:p>
      <w:r>
        <w:rPr>
          <w:color w:val="555555"/>
          <w:sz w:val="17"/>
        </w:rPr>
        <w:t xml:space="preserve">Zitiervorschlag: § 2 MauerG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https://recht.nulegal.eu/gesetze/MauerG/2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