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MasernISchImpfAnsprV — Außerkrafttreten</w:t>
      </w:r>
    </w:p>
    <w:p>
      <w:r>
        <w:rPr>
          <w:color w:val="555555"/>
          <w:sz w:val="18"/>
        </w:rPr>
        <w:t xml:space="preserve">Verordnung zum Anspruch auf Schutzimpfung gegen Masern</w:t>
      </w:r>
    </w:p>
    <w:p>
      <w:r>
        <w:rPr>
          <w:color w:val="555555"/>
          <w:sz w:val="18"/>
        </w:rPr>
        <w:t xml:space="preserve">Stand: 25.06.2023 (konsolidierte Textfassung, kein amtliches Inkrafttretensdatum)</w:t>
      </w:r>
    </w:p>
    <w:p>
      <w:r>
        <w:t xml:space="preserve">§ 1 tritt am 31. März 2023 außer Kraft.</w:t>
      </w:r>
    </w:p>
    <w:p>
      <w:r>
        <w:rPr>
          <w:color w:val="555555"/>
          <w:sz w:val="17"/>
        </w:rPr>
        <w:t xml:space="preserve">Zitiervorschlag: § 3 MasernISchImpfAnsprV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https://recht.nulegal.eu/gesetze/MasernISchImpfAnsprV/3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