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MaschinenDG — Übergangsvorschrift</w:t>
      </w:r>
    </w:p>
    <w:p>
      <w:r>
        <w:rPr>
          <w:color w:val="555555"/>
          <w:sz w:val="18"/>
        </w:rPr>
        <w:t xml:space="preserve">Maschinenverordnung-Durchführungsgesetz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Maschinen, die die Anforderungen der Maschinenverordnung vom 12. Mai 1993 (BGBl. I S. 704), die zuletzt durch Artikel 23 des Gesetzes vom 27. Juli 2021 (BGBl. I S. 3146) geändert worden ist, erfüllen und vor dem 20. Januar 2027 in Verkehr gebracht werden, dürfen auf dem Markt bereitgestellt werden.</w:t>
      </w:r>
    </w:p>
    <w:p>
      <w:r>
        <w:rPr>
          <w:color w:val="555555"/>
          <w:sz w:val="17"/>
        </w:rPr>
        <w:t xml:space="preserve">Zitiervorschlag: § 11 MaschinenDG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https://recht.nulegal.eu/gesetze/MaschinenDG/11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