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MaschinenDG — Strafvorschriften</w:t>
      </w:r>
    </w:p>
    <w:p>
      <w:r>
        <w:rPr>
          <w:color w:val="555555"/>
          <w:sz w:val="18"/>
        </w:rPr>
        <w:t xml:space="preserve">Maschinenverordnung-Durchführungsgesetz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Mit Freiheitsstrafe bis zu einem Jahr oder mit Geldstrafe wird bestraft, wer eine in § 9 Absatz 1 Nummer 7, 16 oder 17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10 MaschinenDG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https://recht.nulegal.eu/gesetze/MaschinenDG/10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