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MaschMahnVordrV</w:t>
      </w:r>
    </w:p>
    <w:p>
      <w:r>
        <w:rPr>
          <w:color w:val="555555"/>
          <w:sz w:val="18"/>
        </w:rPr>
        <w:t xml:space="preserve">Verordnung zur Einführung von Vordrucken für das Mahnverfahren bei Gerichten, die das Verfahren maschinell bearbeiten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durch Artikel 1 Nr. 95 des Gesetzes zur Vereinfachung und Beschleunigung gerichtlicher Verfahren (Vereinfachungsnovelle) vom 3. Dezember 1976 (BGBl. I S. 3281) eingefügten § 703c Abs. 1 Satz 1 und 2 Nr. 1 der Zivilprozeßordnung in der im Bundesgesetzblatt Teil III, Gliederungsnummer 310-4, veröffentlichten bereinigten Fassung wird mit Zustimmung des Bundesrates verordnet:</w:t>
      </w:r>
    </w:p>
    <w:p>
      <w:r>
        <w:rPr>
          <w:color w:val="555555"/>
          <w:sz w:val="17"/>
        </w:rPr>
        <w:t xml:space="preserve">Zitiervorschlag: Eingangsformel MaschMahnVordrV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https://recht.nulegal.eu/gesetze/MaschMahnVordrV/eingangsformel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MaschMahnVordrV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