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MaschFüAusbV — Ausbildungsrahmenplan</w:t>
      </w:r>
    </w:p>
    <w:p>
      <w:r>
        <w:rPr>
          <w:color w:val="555555"/>
          <w:sz w:val="18"/>
        </w:rPr>
        <w:t xml:space="preserve">Verordnung über die Berufsausbildung zum Maschinen- und Anlagenführer/zur Maschinen- und Anlagenführerin</w:t>
      </w:r>
    </w:p>
    <w:p>
      <w:r>
        <w:rPr>
          <w:color w:val="555555"/>
          <w:sz w:val="18"/>
        </w:rPr>
        <w:t xml:space="preserve">Stand: 10.06.2019 (konsolidierte Textfassung, kein amtliches Inkrafttretensdatum)</w:t>
      </w:r>
    </w:p>
    <w:p>
      <w:r>
        <w:t xml:space="preserve">Die in § 4 genannten Fertigkeiten und Kenntnisse sollen unter Berücksichtigung der Schwerpunkte Metall- und Kunststofftechnik, Textiltechnik, Textilveredelung, Lebensmitteltechnik, Druckweiter- und Papierverarbeitung nach der in der Anlage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5 MaschFüAusbV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https://recht.nulegal.eu/gesetze/MaschF%C3%BCAusbV/5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