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MaschFüAusbV — Ausbildungsdauer</w:t>
      </w:r>
    </w:p>
    <w:p>
      <w:r>
        <w:rPr>
          <w:color w:val="555555"/>
          <w:sz w:val="18"/>
        </w:rPr>
        <w:t xml:space="preserve">Verordnung über die Berufsausbildung zum Maschinen- und Anlagenführer/zur Maschinen- und Anlagenführerin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zwei Jahre.</w:t>
      </w:r>
    </w:p>
    <w:p>
      <w:r>
        <w:rPr>
          <w:color w:val="555555"/>
          <w:sz w:val="17"/>
        </w:rPr>
        <w:t xml:space="preserve">Zitiervorschlag: § 2 MaschFüAusbV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https://recht.nulegal.eu/gesetze/MaschF%C3%BCAusbV/2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